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A6" w:rsidRDefault="003134CF" w:rsidP="00F61BEB">
      <w:pPr>
        <w:ind w:firstLine="420"/>
        <w:jc w:val="center"/>
        <w:rPr>
          <w:b/>
          <w:sz w:val="32"/>
        </w:rPr>
      </w:pPr>
      <w:r w:rsidRPr="00F61BEB">
        <w:rPr>
          <w:rFonts w:hint="eastAsia"/>
          <w:b/>
          <w:sz w:val="32"/>
        </w:rPr>
        <w:t xml:space="preserve"> </w:t>
      </w:r>
      <w:r w:rsidR="00F61BEB" w:rsidRPr="00F61BEB">
        <w:rPr>
          <w:rFonts w:hint="eastAsia"/>
          <w:b/>
          <w:sz w:val="32"/>
        </w:rPr>
        <w:t>“银</w:t>
      </w:r>
      <w:proofErr w:type="gramStart"/>
      <w:r w:rsidR="00F61BEB" w:rsidRPr="00F61BEB">
        <w:rPr>
          <w:rFonts w:hint="eastAsia"/>
          <w:b/>
          <w:sz w:val="32"/>
        </w:rPr>
        <w:t>医一</w:t>
      </w:r>
      <w:proofErr w:type="gramEnd"/>
      <w:r w:rsidR="00F61BEB" w:rsidRPr="00F61BEB">
        <w:rPr>
          <w:rFonts w:hint="eastAsia"/>
          <w:b/>
          <w:sz w:val="32"/>
        </w:rPr>
        <w:t>卡通”项目组成及功能一览表</w:t>
      </w:r>
    </w:p>
    <w:tbl>
      <w:tblPr>
        <w:tblStyle w:val="a7"/>
        <w:tblW w:w="0" w:type="auto"/>
        <w:tblLook w:val="04A0"/>
      </w:tblPr>
      <w:tblGrid>
        <w:gridCol w:w="2490"/>
        <w:gridCol w:w="2490"/>
        <w:gridCol w:w="4767"/>
      </w:tblGrid>
      <w:tr w:rsidR="004D60BE" w:rsidRPr="00F61BEB" w:rsidTr="004D60BE">
        <w:tc>
          <w:tcPr>
            <w:tcW w:w="2490" w:type="dxa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阶段</w:t>
            </w:r>
          </w:p>
        </w:tc>
        <w:tc>
          <w:tcPr>
            <w:tcW w:w="2490" w:type="dxa"/>
            <w:vAlign w:val="center"/>
          </w:tcPr>
          <w:p w:rsidR="004D60BE" w:rsidRPr="00F61BEB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项目组成</w:t>
            </w:r>
          </w:p>
        </w:tc>
        <w:tc>
          <w:tcPr>
            <w:tcW w:w="4767" w:type="dxa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功能描述</w:t>
            </w:r>
          </w:p>
        </w:tc>
      </w:tr>
      <w:tr w:rsidR="004D60BE" w:rsidRPr="00F61BEB" w:rsidTr="004D60BE">
        <w:trPr>
          <w:trHeight w:val="717"/>
        </w:trPr>
        <w:tc>
          <w:tcPr>
            <w:tcW w:w="2490" w:type="dxa"/>
            <w:vMerge w:val="restart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 w:rsidRPr="00F61BEB">
              <w:rPr>
                <w:rFonts w:hint="eastAsia"/>
                <w:sz w:val="28"/>
              </w:rPr>
              <w:t>一期</w:t>
            </w:r>
          </w:p>
        </w:tc>
        <w:tc>
          <w:tcPr>
            <w:tcW w:w="2490" w:type="dxa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就诊卡</w:t>
            </w:r>
          </w:p>
        </w:tc>
        <w:tc>
          <w:tcPr>
            <w:tcW w:w="4767" w:type="dxa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非</w:t>
            </w:r>
            <w:proofErr w:type="gramStart"/>
            <w:r>
              <w:rPr>
                <w:rFonts w:hint="eastAsia"/>
                <w:sz w:val="28"/>
              </w:rPr>
              <w:t>医</w:t>
            </w:r>
            <w:proofErr w:type="gramEnd"/>
            <w:r>
              <w:rPr>
                <w:rFonts w:hint="eastAsia"/>
                <w:sz w:val="28"/>
              </w:rPr>
              <w:t>保持</w:t>
            </w:r>
            <w:proofErr w:type="gramStart"/>
            <w:r>
              <w:rPr>
                <w:rFonts w:hint="eastAsia"/>
                <w:sz w:val="28"/>
              </w:rPr>
              <w:t>卡患者持</w:t>
            </w:r>
            <w:proofErr w:type="gramEnd"/>
            <w:r>
              <w:rPr>
                <w:rFonts w:hint="eastAsia"/>
                <w:sz w:val="28"/>
              </w:rPr>
              <w:t>身份证在自助发卡机处办理就诊卡</w:t>
            </w:r>
          </w:p>
        </w:tc>
      </w:tr>
      <w:tr w:rsidR="004D60BE" w:rsidRPr="00F61BEB" w:rsidTr="004D60BE">
        <w:tc>
          <w:tcPr>
            <w:tcW w:w="2490" w:type="dxa"/>
            <w:vMerge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</w:p>
        </w:tc>
        <w:tc>
          <w:tcPr>
            <w:tcW w:w="2490" w:type="dxa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自助挂号</w:t>
            </w:r>
          </w:p>
        </w:tc>
        <w:tc>
          <w:tcPr>
            <w:tcW w:w="4767" w:type="dxa"/>
            <w:vAlign w:val="center"/>
          </w:tcPr>
          <w:p w:rsidR="004D60BE" w:rsidRPr="00F61BEB" w:rsidRDefault="004D60BE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患者可持</w:t>
            </w:r>
            <w:proofErr w:type="gramStart"/>
            <w:r>
              <w:rPr>
                <w:rFonts w:hint="eastAsia"/>
                <w:sz w:val="28"/>
              </w:rPr>
              <w:t>医</w:t>
            </w:r>
            <w:proofErr w:type="gramEnd"/>
            <w:r>
              <w:rPr>
                <w:rFonts w:hint="eastAsia"/>
                <w:sz w:val="28"/>
              </w:rPr>
              <w:t>保卡或就诊卡在自助机可自助挂门诊当日专家号及普通号</w:t>
            </w:r>
          </w:p>
        </w:tc>
      </w:tr>
      <w:tr w:rsidR="00AC3C74" w:rsidRPr="00F61BEB" w:rsidTr="004D60BE">
        <w:tc>
          <w:tcPr>
            <w:tcW w:w="2490" w:type="dxa"/>
            <w:vMerge w:val="restart"/>
            <w:vAlign w:val="center"/>
          </w:tcPr>
          <w:p w:rsidR="00AC3C74" w:rsidRPr="00F61BEB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二期</w:t>
            </w:r>
          </w:p>
        </w:tc>
        <w:tc>
          <w:tcPr>
            <w:tcW w:w="2490" w:type="dxa"/>
            <w:vAlign w:val="center"/>
          </w:tcPr>
          <w:p w:rsidR="00AC3C74" w:rsidRPr="00F61BEB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预交金</w:t>
            </w:r>
          </w:p>
        </w:tc>
        <w:tc>
          <w:tcPr>
            <w:tcW w:w="4767" w:type="dxa"/>
            <w:vAlign w:val="center"/>
          </w:tcPr>
          <w:p w:rsidR="00AC3C74" w:rsidRPr="00F61BEB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患者可对预交金账户充值退费、</w:t>
            </w:r>
            <w:proofErr w:type="gramStart"/>
            <w:r>
              <w:rPr>
                <w:rFonts w:hint="eastAsia"/>
                <w:sz w:val="28"/>
              </w:rPr>
              <w:t>诊间扣费及集中</w:t>
            </w:r>
            <w:proofErr w:type="gramEnd"/>
            <w:r>
              <w:rPr>
                <w:rFonts w:hint="eastAsia"/>
                <w:sz w:val="28"/>
              </w:rPr>
              <w:t>结算业务</w:t>
            </w:r>
          </w:p>
        </w:tc>
      </w:tr>
      <w:tr w:rsidR="00AC3C74" w:rsidRPr="00F61BEB" w:rsidTr="004D60BE">
        <w:tc>
          <w:tcPr>
            <w:tcW w:w="2490" w:type="dxa"/>
            <w:vMerge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</w:p>
        </w:tc>
        <w:tc>
          <w:tcPr>
            <w:tcW w:w="2490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自助服务</w:t>
            </w:r>
          </w:p>
        </w:tc>
        <w:tc>
          <w:tcPr>
            <w:tcW w:w="4767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患者可持卡在自助机进行预约挂号、交费、清单打印等操作</w:t>
            </w:r>
          </w:p>
        </w:tc>
      </w:tr>
      <w:tr w:rsidR="00AC3C74" w:rsidRPr="00F61BEB" w:rsidTr="004D60BE">
        <w:tc>
          <w:tcPr>
            <w:tcW w:w="2490" w:type="dxa"/>
            <w:vMerge w:val="restart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三期</w:t>
            </w:r>
          </w:p>
        </w:tc>
        <w:tc>
          <w:tcPr>
            <w:tcW w:w="2490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临检预约</w:t>
            </w:r>
          </w:p>
        </w:tc>
        <w:tc>
          <w:tcPr>
            <w:tcW w:w="4767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患者可在预约中心集中进行门诊检验检查的预约相关操作</w:t>
            </w:r>
          </w:p>
        </w:tc>
      </w:tr>
      <w:tr w:rsidR="00AC3C74" w:rsidRPr="00F61BEB" w:rsidTr="004D60BE">
        <w:tc>
          <w:tcPr>
            <w:tcW w:w="2490" w:type="dxa"/>
            <w:vMerge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</w:p>
        </w:tc>
        <w:tc>
          <w:tcPr>
            <w:tcW w:w="2490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掌上医院</w:t>
            </w:r>
          </w:p>
        </w:tc>
        <w:tc>
          <w:tcPr>
            <w:tcW w:w="4767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患者可在门诊区域连接专用</w:t>
            </w:r>
            <w:proofErr w:type="spellStart"/>
            <w:r>
              <w:rPr>
                <w:rFonts w:hint="eastAsia"/>
                <w:sz w:val="28"/>
              </w:rPr>
              <w:t>Wifi</w:t>
            </w:r>
            <w:proofErr w:type="spellEnd"/>
            <w:r>
              <w:rPr>
                <w:rFonts w:hint="eastAsia"/>
                <w:sz w:val="28"/>
              </w:rPr>
              <w:t>，下载定制</w:t>
            </w:r>
            <w:r>
              <w:rPr>
                <w:rFonts w:hint="eastAsia"/>
                <w:sz w:val="28"/>
              </w:rPr>
              <w:t>APP</w:t>
            </w:r>
            <w:r>
              <w:rPr>
                <w:rFonts w:hint="eastAsia"/>
                <w:sz w:val="28"/>
              </w:rPr>
              <w:t>软件，开通我院“掌上医院”服务，线上挂号、交费、查询及接收各类推送信息服务</w:t>
            </w:r>
          </w:p>
        </w:tc>
      </w:tr>
      <w:tr w:rsidR="00AC3C74" w:rsidRPr="00F61BEB" w:rsidTr="004D60BE">
        <w:tc>
          <w:tcPr>
            <w:tcW w:w="2490" w:type="dxa"/>
            <w:vMerge w:val="restart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相关系统</w:t>
            </w:r>
          </w:p>
        </w:tc>
        <w:tc>
          <w:tcPr>
            <w:tcW w:w="2490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MIS</w:t>
            </w:r>
            <w:r>
              <w:rPr>
                <w:rFonts w:hint="eastAsia"/>
                <w:sz w:val="28"/>
              </w:rPr>
              <w:t>结算系统</w:t>
            </w:r>
          </w:p>
        </w:tc>
        <w:tc>
          <w:tcPr>
            <w:tcW w:w="4767" w:type="dxa"/>
            <w:vAlign w:val="center"/>
          </w:tcPr>
          <w:p w:rsidR="00AC3C74" w:rsidRDefault="00AC3C74" w:rsidP="00AC3C7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自助机与窗口</w:t>
            </w:r>
            <w:r>
              <w:rPr>
                <w:rFonts w:hint="eastAsia"/>
                <w:sz w:val="28"/>
              </w:rPr>
              <w:t>POS</w:t>
            </w:r>
            <w:proofErr w:type="gramStart"/>
            <w:r>
              <w:rPr>
                <w:rFonts w:hint="eastAsia"/>
                <w:sz w:val="28"/>
              </w:rPr>
              <w:t>机统一</w:t>
            </w:r>
            <w:proofErr w:type="gramEnd"/>
            <w:r>
              <w:rPr>
                <w:rFonts w:hint="eastAsia"/>
                <w:sz w:val="28"/>
              </w:rPr>
              <w:t>使用中国银行</w:t>
            </w:r>
            <w:r w:rsidR="005E7D7C">
              <w:rPr>
                <w:rFonts w:hint="eastAsia"/>
                <w:sz w:val="28"/>
              </w:rPr>
              <w:t>提供</w:t>
            </w:r>
            <w:r>
              <w:rPr>
                <w:rFonts w:hint="eastAsia"/>
                <w:sz w:val="28"/>
              </w:rPr>
              <w:t>MIS</w:t>
            </w:r>
            <w:r>
              <w:rPr>
                <w:rFonts w:hint="eastAsia"/>
                <w:sz w:val="28"/>
              </w:rPr>
              <w:t>系统，简化收退费</w:t>
            </w:r>
            <w:r w:rsidR="005E7D7C">
              <w:rPr>
                <w:rFonts w:hint="eastAsia"/>
                <w:sz w:val="28"/>
              </w:rPr>
              <w:t>流程，提高业务</w:t>
            </w:r>
            <w:r>
              <w:rPr>
                <w:rFonts w:hint="eastAsia"/>
                <w:sz w:val="28"/>
              </w:rPr>
              <w:t>效率。</w:t>
            </w:r>
          </w:p>
        </w:tc>
      </w:tr>
      <w:tr w:rsidR="00AC3C74" w:rsidRPr="00F61BEB" w:rsidTr="004D60BE">
        <w:tc>
          <w:tcPr>
            <w:tcW w:w="2490" w:type="dxa"/>
            <w:vMerge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</w:p>
        </w:tc>
        <w:tc>
          <w:tcPr>
            <w:tcW w:w="2490" w:type="dxa"/>
            <w:vAlign w:val="center"/>
          </w:tcPr>
          <w:p w:rsidR="00AC3C74" w:rsidRDefault="00AC3C74" w:rsidP="004D60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院长查询手机</w:t>
            </w:r>
            <w:r>
              <w:rPr>
                <w:rFonts w:hint="eastAsia"/>
                <w:sz w:val="28"/>
              </w:rPr>
              <w:t>APP</w:t>
            </w:r>
          </w:p>
        </w:tc>
        <w:tc>
          <w:tcPr>
            <w:tcW w:w="4767" w:type="dxa"/>
            <w:vAlign w:val="center"/>
          </w:tcPr>
          <w:p w:rsidR="00AC3C74" w:rsidRDefault="00AC3C74" w:rsidP="00AC3C7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将各类统计报表发布到院领导的手机端，满足院领导移动办公的管理需要。</w:t>
            </w:r>
          </w:p>
        </w:tc>
      </w:tr>
    </w:tbl>
    <w:p w:rsidR="00F61BEB" w:rsidRPr="00F61BEB" w:rsidRDefault="00F61BEB" w:rsidP="00E571B1">
      <w:pPr>
        <w:ind w:firstLine="420"/>
        <w:jc w:val="center"/>
        <w:rPr>
          <w:b/>
          <w:sz w:val="28"/>
        </w:rPr>
      </w:pPr>
    </w:p>
    <w:sectPr w:rsidR="00F61BEB" w:rsidRPr="00F61BEB" w:rsidSect="00E571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72" w:rsidRDefault="00592672" w:rsidP="006932D4">
      <w:r>
        <w:separator/>
      </w:r>
    </w:p>
  </w:endnote>
  <w:endnote w:type="continuationSeparator" w:id="0">
    <w:p w:rsidR="00592672" w:rsidRDefault="00592672" w:rsidP="0069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72" w:rsidRDefault="00592672" w:rsidP="006932D4">
      <w:r>
        <w:separator/>
      </w:r>
    </w:p>
  </w:footnote>
  <w:footnote w:type="continuationSeparator" w:id="0">
    <w:p w:rsidR="00592672" w:rsidRDefault="00592672" w:rsidP="00693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7A1E"/>
    <w:multiLevelType w:val="hybridMultilevel"/>
    <w:tmpl w:val="8C065F64"/>
    <w:lvl w:ilvl="0" w:tplc="EC9CC2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6C011A"/>
    <w:multiLevelType w:val="hybridMultilevel"/>
    <w:tmpl w:val="A0E01ABA"/>
    <w:lvl w:ilvl="0" w:tplc="554EFE68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3E571C"/>
    <w:multiLevelType w:val="hybridMultilevel"/>
    <w:tmpl w:val="4DF63392"/>
    <w:lvl w:ilvl="0" w:tplc="2DAA1B9A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4E831EE"/>
    <w:multiLevelType w:val="hybridMultilevel"/>
    <w:tmpl w:val="8E388E1A"/>
    <w:lvl w:ilvl="0" w:tplc="F93E56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A95C6D"/>
    <w:multiLevelType w:val="hybridMultilevel"/>
    <w:tmpl w:val="5268DE30"/>
    <w:lvl w:ilvl="0" w:tplc="5A7CCCE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25E45C9"/>
    <w:multiLevelType w:val="hybridMultilevel"/>
    <w:tmpl w:val="FB06BBAC"/>
    <w:lvl w:ilvl="0" w:tplc="4208C0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205"/>
    <w:rsid w:val="00015016"/>
    <w:rsid w:val="00025498"/>
    <w:rsid w:val="00081205"/>
    <w:rsid w:val="00101520"/>
    <w:rsid w:val="001226BE"/>
    <w:rsid w:val="001D75D3"/>
    <w:rsid w:val="00281CC1"/>
    <w:rsid w:val="002A7479"/>
    <w:rsid w:val="002C3089"/>
    <w:rsid w:val="003134CF"/>
    <w:rsid w:val="003257B2"/>
    <w:rsid w:val="003678B9"/>
    <w:rsid w:val="003C1581"/>
    <w:rsid w:val="004442AF"/>
    <w:rsid w:val="004759FA"/>
    <w:rsid w:val="004B5E82"/>
    <w:rsid w:val="004D60BE"/>
    <w:rsid w:val="005463FD"/>
    <w:rsid w:val="00592672"/>
    <w:rsid w:val="005B2A09"/>
    <w:rsid w:val="005D7A47"/>
    <w:rsid w:val="005E7D7C"/>
    <w:rsid w:val="006932D4"/>
    <w:rsid w:val="006954BA"/>
    <w:rsid w:val="006E70F8"/>
    <w:rsid w:val="00740C33"/>
    <w:rsid w:val="007A4C71"/>
    <w:rsid w:val="0089594B"/>
    <w:rsid w:val="008C304B"/>
    <w:rsid w:val="00920B38"/>
    <w:rsid w:val="009F3F52"/>
    <w:rsid w:val="00A32995"/>
    <w:rsid w:val="00AC3C74"/>
    <w:rsid w:val="00AE17D4"/>
    <w:rsid w:val="00AF742B"/>
    <w:rsid w:val="00B03BBD"/>
    <w:rsid w:val="00B61FBC"/>
    <w:rsid w:val="00CC2DFF"/>
    <w:rsid w:val="00D66E40"/>
    <w:rsid w:val="00D747EA"/>
    <w:rsid w:val="00D91EA7"/>
    <w:rsid w:val="00E166A6"/>
    <w:rsid w:val="00E571B1"/>
    <w:rsid w:val="00E72426"/>
    <w:rsid w:val="00F6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9594B"/>
    <w:rPr>
      <w:i/>
      <w:iCs/>
    </w:rPr>
  </w:style>
  <w:style w:type="paragraph" w:styleId="a4">
    <w:name w:val="List Paragraph"/>
    <w:basedOn w:val="a"/>
    <w:uiPriority w:val="34"/>
    <w:qFormat/>
    <w:rsid w:val="004442A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9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32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3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32D4"/>
    <w:rPr>
      <w:sz w:val="18"/>
      <w:szCs w:val="18"/>
    </w:rPr>
  </w:style>
  <w:style w:type="table" w:styleId="a7">
    <w:name w:val="Table Grid"/>
    <w:basedOn w:val="a1"/>
    <w:uiPriority w:val="59"/>
    <w:rsid w:val="00F61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9594B"/>
    <w:rPr>
      <w:i/>
      <w:iCs/>
    </w:rPr>
  </w:style>
  <w:style w:type="paragraph" w:styleId="a4">
    <w:name w:val="List Paragraph"/>
    <w:basedOn w:val="a"/>
    <w:uiPriority w:val="34"/>
    <w:qFormat/>
    <w:rsid w:val="004442A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9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32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3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32D4"/>
    <w:rPr>
      <w:sz w:val="18"/>
      <w:szCs w:val="18"/>
    </w:rPr>
  </w:style>
  <w:style w:type="table" w:styleId="a7">
    <w:name w:val="Table Grid"/>
    <w:basedOn w:val="a1"/>
    <w:uiPriority w:val="59"/>
    <w:rsid w:val="00F61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2016-01-04T00:34:00Z</cp:lastPrinted>
  <dcterms:created xsi:type="dcterms:W3CDTF">2016-01-04T04:16:00Z</dcterms:created>
  <dcterms:modified xsi:type="dcterms:W3CDTF">2016-01-07T10:25:00Z</dcterms:modified>
</cp:coreProperties>
</file>